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5259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10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259" w:type="dxa"/>
            <w:gridSpan w:val="6"/>
          </w:tcPr>
          <w:p>
            <w:pPr>
              <w:widowControl w:val="0"/>
              <w:jc w:val="center"/>
            </w:pPr>
            <w:r>
              <w:rPr>
                <w:lang w:eastAsia="ru-RU" w:bidi="ar-SA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259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05.10.2023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526</w:t>
            </w:r>
          </w:p>
        </w:tc>
        <w:tc>
          <w:tcPr>
            <w:tcW w:w="10927" w:type="dxa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13687" w:type="dxa"/>
            <w:gridSpan w:val="4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>
      <w:pPr>
        <w:jc w:val="center"/>
        <w:rPr>
          <w:rFonts w:ascii="Times New Roman" w:hAnsi="Times New Roman"/>
          <w:b/>
          <w:bCs/>
          <w:i/>
          <w:iCs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На основании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"consultantplus://offline/ref=9F22E77CF9173A4789A6096D53B29B2A09EFFFF5100273507D6ED239033726D0AEB3D17E6156i40FM"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"consultantplus://offline/ref=9F22E77CF9173A4789A6176045DEC52009E1A1FC1707710320318964543E2C87E9FC883F21524E409C6187i603M"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29.06.2023 г. № 49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15.12.2022 г.  № 71  «О бюджете  Артинского городского округа на 2023  год и плановый период 2024 и 2025 годов»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 Об утверждении Перечня муниципальных программ Артинского городского округа», в соответствии со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"consultantplus://offline/ref=9F22E77CF9173A4789A6176045DEC52009E1A1FC10047E05203AD46E5C672085EEF3D728261B42419C618467i50EM"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"consultantplus://offline/ref=9F22E77CF9173A4789A6176045DEC52009E1A1FC10047E05203AD46E5C672085EEF3D728261B42419C618664i50AM"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jc w:val="both"/>
      </w:pPr>
    </w:p>
    <w:p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>
      <w:pPr>
        <w:ind w:left="624" w:hanging="567"/>
        <w:rPr>
          <w:b/>
          <w:bCs/>
        </w:rPr>
      </w:pP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 Администрации Артинского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28.02.2023 № 102 «Об утверждении муниципальной программы «Управление муниципальной собственностью  на территории Артинского городского округа до 2027 года»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>
      <w:pPr>
        <w:widowControl/>
        <w:numPr>
          <w:ilvl w:val="1"/>
          <w:numId w:val="3"/>
        </w:numPr>
        <w:bidi w:val="0"/>
        <w:ind w:left="10" w:leftChars="0" w:right="0" w:rightChars="0" w:firstLine="478" w:firstLineChars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8"/>
        <w:gridCol w:w="5736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СЕ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 xml:space="preserve">ГО: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96 293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16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в том числе: (п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shd w:val="clear" w:fill="auto"/>
              </w:rPr>
              <w:t>о годам реализации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)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из них: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бюджет: 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2,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9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2024г.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2025г.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2026г.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2027г. - 0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местный бюджет: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96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060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7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в том числе: (по годам реализации)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2023 – 8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610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02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2024 – 2 827,00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 3 145,00 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2026 - 0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2027 - 0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внебюджетные источники: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4" w:hRule="atLeast"/>
        </w:trPr>
        <w:tc>
          <w:tcPr>
            <w:tcW w:w="406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Адрес размещения муниципальной программы в сети Интернет</w:t>
            </w:r>
          </w:p>
        </w:tc>
        <w:tc>
          <w:tcPr>
            <w:tcW w:w="57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</w:pPr>
            <w:r>
              <w:fldChar w:fldCharType="begin"/>
            </w:r>
            <w:r>
              <w:instrText xml:space="preserve"> HYPERLINK "https://arti.midural.ru/"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https://arti.midural.ru/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>
      <w:pPr>
        <w:numPr>
          <w:ilvl w:val="0"/>
          <w:numId w:val="0"/>
        </w:numPr>
        <w:ind w:left="-2" w:leftChars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«План мероприятий по реализации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2027 года»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изложить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новой редакции (прилагается).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3"/>
        </w:numPr>
        <w:ind w:left="10" w:leftChars="0" w:firstLine="478" w:firstLineChars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«Муниципальном вестнике» газеты «Артинские вести» и на официальном сайте Артинского городского округа.</w:t>
      </w:r>
    </w:p>
    <w:p>
      <w:pPr>
        <w:numPr>
          <w:ilvl w:val="0"/>
          <w:numId w:val="0"/>
        </w:numPr>
        <w:ind w:left="490" w:lef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3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tabs>
          <w:tab w:val="left" w:pos="1080"/>
        </w:tabs>
        <w:jc w:val="both"/>
      </w:pPr>
    </w:p>
    <w:p>
      <w:pPr>
        <w:tabs>
          <w:tab w:val="left" w:pos="1080"/>
        </w:tabs>
        <w:jc w:val="both"/>
      </w:pPr>
    </w:p>
    <w:p>
      <w:pPr>
        <w:jc w:val="both"/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>. о 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Артинского городского округа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Токарев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33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08"/>
        <w:gridCol w:w="1184"/>
        <w:gridCol w:w="1152"/>
        <w:gridCol w:w="1184"/>
        <w:gridCol w:w="2556"/>
        <w:gridCol w:w="1062"/>
        <w:gridCol w:w="703"/>
        <w:gridCol w:w="703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к Постановлению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Приложение № 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bookmarkStart w:id="1" w:name="_GoBack"/>
            <w:bookmarkEnd w:id="1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муниципальной программе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от 05.10.2023 г.  № 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МЕРОПРИЯТИЙ ПО РЕАЛИЗАЦИИ ПРОГРАММЫ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3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7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2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Всего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г.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г.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12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96 293,16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80 842,91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96 060,27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80 610,02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79 922,37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74 071,90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79 922,37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74 071,90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79 922,37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74 071,90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5 850,47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59 871,90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59 871,90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14 200,00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14 200,00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33CCCC" w:fill="00FA9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9 974,65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2 512,30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9 974,65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2 512,30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9 974,65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2 512,30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Мероприятия по сносу ветхого (аварийного) жилья и нежилых зданий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2 061,12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Постановка на кадастровый учет автомобильных дорог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объектов ЖКХ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зданий и помещений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6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6.1.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с целью получения заключения о состоянии муниципального имущества 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6.2.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с целью снятия с кадастрового  учета и исключения из реестра муниципальной собственности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7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1 624,00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3 894,32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934,82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8.1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коммунальные услуги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3 020,50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8.2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160,45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8.3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8.4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9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собственности,</w:t>
            </w:r>
            <w:r>
              <w:rPr>
                <w:rStyle w:val="3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рыночной оценки размера возмещения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1 417,20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862,73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2.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6. 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4,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бесхозяйных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5. Обеспечивающая подпрограмма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5,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1 743,17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Местный бюджет,,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 по направлениям: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1 743,17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1 018,87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1.1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ремонт и техническое обслуживание оргтехники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1.2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техническая поддержка программы АСГОР "Имущество"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1.3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519,79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101,92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Публикация извещений в средствах массовой информации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Услуги почтовой связи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6. «Управление муниципальными организациями»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6,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1.   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Субсидия на возмещение затрат на проведение мероприятий, связанных с ликвидацией МУП "ЖКХ-Манчаж"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56</w:t>
            </w:r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sectPr>
      <w:pgSz w:w="16838" w:h="11906" w:orient="landscape"/>
      <w:pgMar w:top="1407" w:right="854" w:bottom="699" w:left="84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68513"/>
    <w:multiLevelType w:val="singleLevel"/>
    <w:tmpl w:val="8B46851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2">
    <w:nsid w:val="0AA3795F"/>
    <w:multiLevelType w:val="multilevel"/>
    <w:tmpl w:val="0AA3795F"/>
    <w:lvl w:ilvl="0" w:tentative="0">
      <w:start w:val="1"/>
      <w:numFmt w:val="decimal"/>
      <w:suff w:val="space"/>
      <w:lvlText w:val="%1."/>
      <w:lvlJc w:val="left"/>
      <w:pPr>
        <w:ind w:left="49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49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9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9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9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9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9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9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9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B4649"/>
    <w:rsid w:val="00306D5D"/>
    <w:rsid w:val="003575E7"/>
    <w:rsid w:val="008C3CB1"/>
    <w:rsid w:val="00C60568"/>
    <w:rsid w:val="00DB4649"/>
    <w:rsid w:val="00ED31CC"/>
    <w:rsid w:val="017C2ABF"/>
    <w:rsid w:val="02257C5D"/>
    <w:rsid w:val="04A946E7"/>
    <w:rsid w:val="0BA01BBC"/>
    <w:rsid w:val="0C600ABF"/>
    <w:rsid w:val="15D55268"/>
    <w:rsid w:val="16447E2B"/>
    <w:rsid w:val="18E33C94"/>
    <w:rsid w:val="238A45F6"/>
    <w:rsid w:val="290276B2"/>
    <w:rsid w:val="29560610"/>
    <w:rsid w:val="2AA74943"/>
    <w:rsid w:val="2BDE4CC7"/>
    <w:rsid w:val="2D194512"/>
    <w:rsid w:val="2F717B3B"/>
    <w:rsid w:val="326A5BCD"/>
    <w:rsid w:val="364C0EFB"/>
    <w:rsid w:val="39137DEB"/>
    <w:rsid w:val="3A143741"/>
    <w:rsid w:val="3A524858"/>
    <w:rsid w:val="3E6D2674"/>
    <w:rsid w:val="3FC43A91"/>
    <w:rsid w:val="40C275F6"/>
    <w:rsid w:val="4148070D"/>
    <w:rsid w:val="45507134"/>
    <w:rsid w:val="49E51AC3"/>
    <w:rsid w:val="4B705044"/>
    <w:rsid w:val="4CE04794"/>
    <w:rsid w:val="4EB561F0"/>
    <w:rsid w:val="52CA05EC"/>
    <w:rsid w:val="57171972"/>
    <w:rsid w:val="578A40BB"/>
    <w:rsid w:val="58835515"/>
    <w:rsid w:val="5AA526E8"/>
    <w:rsid w:val="629E3EC5"/>
    <w:rsid w:val="650416E0"/>
    <w:rsid w:val="690D6E4C"/>
    <w:rsid w:val="6D323B1B"/>
    <w:rsid w:val="6E3854B5"/>
    <w:rsid w:val="6E4C2C26"/>
    <w:rsid w:val="708608AC"/>
    <w:rsid w:val="70DF1F39"/>
    <w:rsid w:val="7357343E"/>
    <w:rsid w:val="74F41786"/>
    <w:rsid w:val="797C1404"/>
    <w:rsid w:val="7E7241A2"/>
    <w:rsid w:val="7E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overflowPunct w:val="0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8"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List"/>
    <w:basedOn w:val="9"/>
    <w:qFormat/>
    <w:uiPriority w:val="0"/>
  </w:style>
  <w:style w:type="paragraph" w:customStyle="1" w:styleId="1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lang w:val="zh-CN" w:bidi="zh-CN"/>
    </w:rPr>
  </w:style>
  <w:style w:type="paragraph" w:customStyle="1" w:styleId="13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4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5">
    <w:name w:val="ConsPlusNormal"/>
    <w:qFormat/>
    <w:uiPriority w:val="0"/>
    <w:pPr>
      <w:widowControl w:val="0"/>
      <w:suppressAutoHyphens/>
      <w:overflowPunct w:val="0"/>
      <w:ind w:firstLine="720"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6">
    <w:name w:val="Абзац списка1"/>
    <w:basedOn w:val="1"/>
    <w:qFormat/>
    <w:uiPriority w:val="0"/>
    <w:pPr>
      <w:overflowPunct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17">
    <w:name w:val="Заголовок таблицы"/>
    <w:basedOn w:val="14"/>
    <w:qFormat/>
    <w:uiPriority w:val="0"/>
    <w:pPr>
      <w:jc w:val="center"/>
    </w:pPr>
    <w:rPr>
      <w:b/>
      <w:bCs/>
    </w:rPr>
  </w:style>
  <w:style w:type="character" w:customStyle="1" w:styleId="18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customStyle="1" w:styleId="19">
    <w:name w:val="Абзац списка"/>
    <w:basedOn w:val="1"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0">
    <w:name w:val="font3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2">
    <w:name w:val="font2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3">
    <w:name w:val="font71"/>
    <w:qFormat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24">
    <w:name w:val="font101"/>
    <w:uiPriority w:val="0"/>
    <w:rPr>
      <w:rFonts w:hint="default" w:ascii="Calibri" w:hAnsi="Calibri" w:cs="Calibri"/>
      <w:color w:val="0000FF"/>
      <w:u w:val="none"/>
    </w:rPr>
  </w:style>
  <w:style w:type="character" w:customStyle="1" w:styleId="25">
    <w:name w:val="font51"/>
    <w:uiPriority w:val="0"/>
    <w:rPr>
      <w:rFonts w:hint="default" w:ascii="Calibri" w:hAnsi="Calibri" w:cs="Calibri"/>
      <w:color w:val="000000"/>
      <w:u w:val="none"/>
    </w:rPr>
  </w:style>
  <w:style w:type="character" w:customStyle="1" w:styleId="26">
    <w:name w:val="font131"/>
    <w:uiPriority w:val="0"/>
    <w:rPr>
      <w:rFonts w:hint="default" w:ascii="Calibri" w:hAnsi="Calibri" w:cs="Calibri"/>
      <w:color w:val="000000"/>
      <w:u w:val="none"/>
    </w:rPr>
  </w:style>
  <w:style w:type="character" w:customStyle="1" w:styleId="27">
    <w:name w:val="font15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8">
    <w:name w:val="font361"/>
    <w:uiPriority w:val="0"/>
    <w:rPr>
      <w:rFonts w:hint="default" w:ascii="Calibri" w:hAnsi="Calibri" w:cs="Calibri"/>
      <w:i/>
      <w:iCs/>
      <w:color w:val="C71585"/>
      <w:u w:val="none"/>
    </w:rPr>
  </w:style>
  <w:style w:type="character" w:customStyle="1" w:styleId="29">
    <w:name w:val="font231"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30">
    <w:name w:val="font271"/>
    <w:uiPriority w:val="0"/>
    <w:rPr>
      <w:rFonts w:hint="default" w:ascii="Calibri" w:hAnsi="Calibri" w:cs="Calibri"/>
      <w:color w:val="000000"/>
      <w:u w:val="none"/>
    </w:rPr>
  </w:style>
  <w:style w:type="character" w:customStyle="1" w:styleId="31">
    <w:name w:val="font371"/>
    <w:uiPriority w:val="0"/>
    <w:rPr>
      <w:rFonts w:hint="default" w:ascii="Calibri" w:hAnsi="Calibri" w:cs="Calibri"/>
      <w:color w:val="00B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3864</Characters>
  <Lines>32</Lines>
  <Paragraphs>9</Paragraphs>
  <TotalTime>4064</TotalTime>
  <ScaleCrop>false</ScaleCrop>
  <LinksUpToDate>false</LinksUpToDate>
  <CharactersWithSpaces>4532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User</cp:lastModifiedBy>
  <cp:lastPrinted>2023-10-05T10:40:00Z</cp:lastPrinted>
  <dcterms:modified xsi:type="dcterms:W3CDTF">2023-10-16T06:48:50Z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F8B2D387974647E285961A900A212322</vt:lpwstr>
  </property>
</Properties>
</file>